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45" w:rsidRPr="005771AC" w:rsidRDefault="00F82D45" w:rsidP="00F82D45">
      <w:pPr>
        <w:pStyle w:val="Ttulo"/>
        <w:rPr>
          <w:rFonts w:ascii="Trebuchet MS" w:hAnsi="Trebuchet MS"/>
          <w:sz w:val="28"/>
          <w:szCs w:val="28"/>
        </w:rPr>
      </w:pPr>
      <w:bookmarkStart w:id="0" w:name="_GoBack"/>
      <w:r w:rsidRPr="005771AC">
        <w:rPr>
          <w:rFonts w:ascii="Trebuchet MS" w:hAnsi="Trebuchet MS"/>
          <w:sz w:val="28"/>
          <w:szCs w:val="28"/>
        </w:rPr>
        <w:t>Web 2.0 y Educación</w:t>
      </w:r>
    </w:p>
    <w:bookmarkEnd w:id="0"/>
    <w:p w:rsidR="00A66B28" w:rsidRPr="005771AC" w:rsidRDefault="00F82D45" w:rsidP="00F82D45">
      <w:pPr>
        <w:ind w:left="0"/>
        <w:jc w:val="both"/>
        <w:rPr>
          <w:sz w:val="22"/>
          <w:szCs w:val="22"/>
        </w:rPr>
      </w:pPr>
      <w:r>
        <w:rPr>
          <w:sz w:val="24"/>
          <w:szCs w:val="24"/>
        </w:rPr>
        <w:tab/>
      </w:r>
      <w:r w:rsidRPr="005771AC">
        <w:rPr>
          <w:sz w:val="22"/>
          <w:szCs w:val="22"/>
        </w:rPr>
        <w:t xml:space="preserve">Se puede definir </w:t>
      </w:r>
      <w:r w:rsidRPr="005771AC">
        <w:rPr>
          <w:b/>
          <w:sz w:val="22"/>
          <w:szCs w:val="22"/>
        </w:rPr>
        <w:t>la web 2.0</w:t>
      </w:r>
      <w:r w:rsidRPr="005771AC">
        <w:rPr>
          <w:sz w:val="22"/>
          <w:szCs w:val="22"/>
        </w:rPr>
        <w:t xml:space="preserve">   como un conjunto de aplicaciones y herramientas,  que permiten marcar una </w:t>
      </w:r>
      <w:r w:rsidRPr="005771AC">
        <w:rPr>
          <w:b/>
          <w:sz w:val="22"/>
          <w:szCs w:val="22"/>
        </w:rPr>
        <w:t>nueva tendencia</w:t>
      </w:r>
      <w:r w:rsidRPr="005771AC">
        <w:rPr>
          <w:sz w:val="22"/>
          <w:szCs w:val="22"/>
        </w:rPr>
        <w:t xml:space="preserve"> en cuanto al uso de los diferentes  servicios que se ofrecen en la red, puesto que permiten a los usuarios </w:t>
      </w:r>
      <w:r w:rsidRPr="005771AC">
        <w:rPr>
          <w:b/>
          <w:sz w:val="22"/>
          <w:szCs w:val="22"/>
        </w:rPr>
        <w:t>navegar e interactuar</w:t>
      </w:r>
      <w:r w:rsidRPr="005771AC">
        <w:rPr>
          <w:sz w:val="22"/>
          <w:szCs w:val="22"/>
        </w:rPr>
        <w:t xml:space="preserve"> de manera dinámica con la información, intercambiar contenidos, </w:t>
      </w:r>
      <w:r w:rsidRPr="005771AC">
        <w:rPr>
          <w:b/>
          <w:sz w:val="22"/>
          <w:szCs w:val="22"/>
        </w:rPr>
        <w:t>socializar opiniones</w:t>
      </w:r>
      <w:r w:rsidRPr="005771AC">
        <w:rPr>
          <w:sz w:val="22"/>
          <w:szCs w:val="22"/>
        </w:rPr>
        <w:t xml:space="preserve">,  aportar en la construcción de aprendizajes colectivos etc. Actividades o funciones que hace algún tiempo no era posible realizar  ya que las personas  se </w:t>
      </w:r>
      <w:r w:rsidRPr="005771AC">
        <w:rPr>
          <w:b/>
          <w:sz w:val="22"/>
          <w:szCs w:val="22"/>
        </w:rPr>
        <w:t>limitaban a descargar información</w:t>
      </w:r>
      <w:r w:rsidRPr="005771AC">
        <w:rPr>
          <w:sz w:val="22"/>
          <w:szCs w:val="22"/>
        </w:rPr>
        <w:t xml:space="preserve">, convirtiéndose en simples  </w:t>
      </w:r>
      <w:r w:rsidRPr="005771AC">
        <w:rPr>
          <w:i/>
          <w:sz w:val="22"/>
          <w:szCs w:val="22"/>
        </w:rPr>
        <w:t>espectadores</w:t>
      </w:r>
      <w:r w:rsidRPr="005771AC">
        <w:rPr>
          <w:sz w:val="22"/>
          <w:szCs w:val="22"/>
        </w:rPr>
        <w:t xml:space="preserve">  de los contenidos presentes en las páginas web.</w:t>
      </w:r>
    </w:p>
    <w:p w:rsidR="005B0E0C" w:rsidRPr="005B0E0C" w:rsidRDefault="005B0E0C" w:rsidP="005771AC">
      <w:pPr>
        <w:shd w:val="clear" w:color="auto" w:fill="FFFFFF"/>
        <w:spacing w:after="0" w:line="450" w:lineRule="atLeast"/>
        <w:ind w:left="0"/>
        <w:jc w:val="center"/>
        <w:outlineLvl w:val="0"/>
        <w:rPr>
          <w:rFonts w:ascii="Trebuchet MS" w:eastAsia="Times New Roman" w:hAnsi="Trebuchet MS" w:cs="Times New Roman"/>
          <w:b/>
          <w:color w:val="0070C0"/>
          <w:kern w:val="36"/>
          <w:sz w:val="32"/>
          <w:szCs w:val="32"/>
          <w:lang w:eastAsia="es-ES"/>
        </w:rPr>
      </w:pPr>
      <w:r w:rsidRPr="005B0E0C">
        <w:rPr>
          <w:rFonts w:ascii="Trebuchet MS" w:eastAsia="Times New Roman" w:hAnsi="Trebuchet MS" w:cs="Times New Roman"/>
          <w:b/>
          <w:color w:val="0070C0"/>
          <w:kern w:val="36"/>
          <w:sz w:val="32"/>
          <w:szCs w:val="32"/>
          <w:lang w:eastAsia="es-ES"/>
        </w:rPr>
        <w:t>Herramientas de la web 2.0 y el enfoque conectivista</w:t>
      </w:r>
    </w:p>
    <w:p w:rsidR="005B0E0C" w:rsidRPr="005771AC" w:rsidRDefault="005B0E0C" w:rsidP="005771AC">
      <w:pPr>
        <w:shd w:val="clear" w:color="auto" w:fill="FFFFFF"/>
        <w:spacing w:after="0" w:line="255" w:lineRule="atLeast"/>
        <w:ind w:left="0"/>
        <w:jc w:val="center"/>
        <w:rPr>
          <w:rFonts w:ascii="Verdana" w:eastAsia="Times New Roman" w:hAnsi="Verdana" w:cs="Times New Roman"/>
          <w:b/>
          <w:color w:val="0070C0"/>
          <w:sz w:val="24"/>
          <w:szCs w:val="24"/>
          <w:lang w:eastAsia="es-ES"/>
        </w:rPr>
      </w:pPr>
      <w:hyperlink r:id="rId6" w:history="1">
        <w:r w:rsidRPr="005771AC">
          <w:rPr>
            <w:rFonts w:ascii="Verdana" w:eastAsia="Times New Roman" w:hAnsi="Verdana" w:cs="Times New Roman"/>
            <w:b/>
            <w:color w:val="0070C0"/>
            <w:sz w:val="24"/>
            <w:szCs w:val="24"/>
            <w:bdr w:val="none" w:sz="0" w:space="0" w:color="auto" w:frame="1"/>
            <w:lang w:eastAsia="es-ES"/>
          </w:rPr>
          <w:t>Ventajas que ofrecen las herramientas Web 2.0 en la educación</w:t>
        </w:r>
      </w:hyperlink>
    </w:p>
    <w:p w:rsidR="005B0E0C" w:rsidRPr="005B0E0C" w:rsidRDefault="005B0E0C" w:rsidP="005B0E0C">
      <w:pPr>
        <w:shd w:val="clear" w:color="auto" w:fill="FFFFFF"/>
        <w:spacing w:after="0" w:line="255" w:lineRule="atLeast"/>
        <w:ind w:left="0"/>
        <w:jc w:val="center"/>
        <w:rPr>
          <w:rFonts w:ascii="Verdana" w:eastAsia="Times New Roman" w:hAnsi="Verdana" w:cs="Times New Roman"/>
          <w:color w:val="666666"/>
          <w:sz w:val="24"/>
          <w:szCs w:val="24"/>
          <w:lang w:eastAsia="es-ES"/>
        </w:rPr>
      </w:pPr>
    </w:p>
    <w:p w:rsidR="005B0E0C" w:rsidRDefault="005B0E0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18"/>
          <w:szCs w:val="18"/>
          <w:lang w:eastAsia="es-ES"/>
        </w:rPr>
      </w:pPr>
      <w:r w:rsidRPr="005B0E0C">
        <w:rPr>
          <w:rFonts w:ascii="Verdana" w:eastAsia="Times New Roman" w:hAnsi="Verdana" w:cs="Times New Roman"/>
          <w:b/>
          <w:bCs/>
          <w:noProof/>
          <w:color w:val="666666"/>
          <w:sz w:val="18"/>
          <w:szCs w:val="18"/>
          <w:lang w:eastAsia="es-ES"/>
        </w:rPr>
        <w:drawing>
          <wp:inline distT="0" distB="0" distL="0" distR="0" wp14:anchorId="0B5497D1" wp14:editId="4750D46A">
            <wp:extent cx="5362575" cy="1800225"/>
            <wp:effectExtent l="0" t="0" r="9525" b="9525"/>
            <wp:docPr id="1" name="Imagen 1" descr="conecweb2.0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ecweb2.0 cop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E0C">
        <w:rPr>
          <w:rFonts w:ascii="Verdana" w:eastAsia="Times New Roman" w:hAnsi="Verdana" w:cs="Times New Roman"/>
          <w:b/>
          <w:bCs/>
          <w:color w:val="666666"/>
          <w:sz w:val="18"/>
          <w:szCs w:val="18"/>
          <w:lang w:eastAsia="es-ES"/>
        </w:rPr>
        <w:t> </w:t>
      </w:r>
      <w:r w:rsidRPr="005B0E0C">
        <w:rPr>
          <w:rFonts w:ascii="Verdana" w:eastAsia="Times New Roman" w:hAnsi="Verdana" w:cs="Times New Roman"/>
          <w:color w:val="666666"/>
          <w:sz w:val="18"/>
          <w:szCs w:val="18"/>
          <w:lang w:eastAsia="es-ES"/>
        </w:rPr>
        <w:t xml:space="preserve"> </w:t>
      </w:r>
    </w:p>
    <w:p w:rsidR="005B0E0C" w:rsidRDefault="005B0E0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18"/>
          <w:szCs w:val="18"/>
          <w:lang w:eastAsia="es-ES"/>
        </w:rPr>
      </w:pPr>
    </w:p>
    <w:p w:rsidR="005B0E0C" w:rsidRPr="005B0E0C" w:rsidRDefault="005B0E0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</w:pPr>
      <w:r>
        <w:rPr>
          <w:rFonts w:ascii="Verdana" w:eastAsia="Times New Roman" w:hAnsi="Verdana" w:cs="Times New Roman"/>
          <w:color w:val="666666"/>
          <w:sz w:val="18"/>
          <w:szCs w:val="18"/>
          <w:lang w:eastAsia="es-ES"/>
        </w:rPr>
        <w:tab/>
      </w:r>
      <w:r w:rsidRPr="005771A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Las 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herramientas de la Web 2.0, proveen diferentes recursos que se adaptan a los propósitos que plantea el </w:t>
      </w:r>
      <w:r w:rsidRPr="005B0E0C">
        <w:rPr>
          <w:rFonts w:ascii="Verdana" w:eastAsia="Times New Roman" w:hAnsi="Verdana" w:cs="Times New Roman"/>
          <w:b/>
          <w:color w:val="666666"/>
          <w:sz w:val="22"/>
          <w:szCs w:val="22"/>
          <w:lang w:eastAsia="es-ES"/>
        </w:rPr>
        <w:t>enfoque conectivista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en la educación, puesto que hacen posible la interacción entre usuarios, la retroalimentación de conocimientos, la actualización constante, el establecimiento de enlaces entre </w:t>
      </w:r>
      <w:r w:rsidRPr="005B0E0C">
        <w:rPr>
          <w:rFonts w:ascii="Verdana" w:eastAsia="Times New Roman" w:hAnsi="Verdana" w:cs="Times New Roman"/>
          <w:b/>
          <w:color w:val="666666"/>
          <w:sz w:val="22"/>
          <w:szCs w:val="22"/>
          <w:lang w:eastAsia="es-ES"/>
        </w:rPr>
        <w:t>diferentes fuentes y tipos de información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(imágenes, videos, texto) etc.</w:t>
      </w:r>
    </w:p>
    <w:p w:rsidR="005B0E0C" w:rsidRPr="005B0E0C" w:rsidRDefault="005B0E0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</w:pP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>En este sentido por mencionar alg</w:t>
      </w:r>
      <w:r w:rsidRPr="005771A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unos ejemplos, a través de los 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indicadores de contenido (RSS) es posible recibir información actualizada sobre los diferentes artículos y temas de interés publicados en determinadas páginas web, mediante los marcadores sociales se puede compartir URLS destacadas , </w:t>
      </w:r>
      <w:r w:rsidRPr="005B0E0C">
        <w:rPr>
          <w:rFonts w:ascii="Verdana" w:eastAsia="Times New Roman" w:hAnsi="Verdana" w:cs="Times New Roman"/>
          <w:b/>
          <w:i/>
          <w:color w:val="666666"/>
          <w:sz w:val="22"/>
          <w:szCs w:val="22"/>
          <w:lang w:eastAsia="es-ES"/>
        </w:rPr>
        <w:t>los blogs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por su parte propician espacios para el intercambio de opiniones y el establecimiento de discusiones alrededor de un tema en particular, y por medio de las </w:t>
      </w:r>
      <w:r w:rsidRPr="005B0E0C">
        <w:rPr>
          <w:rFonts w:ascii="Verdana" w:eastAsia="Times New Roman" w:hAnsi="Verdana" w:cs="Times New Roman"/>
          <w:b/>
          <w:i/>
          <w:color w:val="666666"/>
          <w:sz w:val="22"/>
          <w:szCs w:val="22"/>
          <w:lang w:eastAsia="es-ES"/>
        </w:rPr>
        <w:t>wikis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se incentiva la inteligencia colectiva, puesto que </w:t>
      </w:r>
      <w:r w:rsidRPr="005B0E0C">
        <w:rPr>
          <w:rFonts w:ascii="Verdana" w:eastAsia="Times New Roman" w:hAnsi="Verdana" w:cs="Times New Roman"/>
          <w:i/>
          <w:color w:val="666666"/>
          <w:sz w:val="22"/>
          <w:szCs w:val="22"/>
          <w:lang w:eastAsia="es-ES"/>
        </w:rPr>
        <w:t xml:space="preserve">“Los campos del conocimiento son como las grandes </w:t>
      </w:r>
      <w:r w:rsidRPr="005B0E0C">
        <w:rPr>
          <w:rFonts w:ascii="Verdana" w:eastAsia="Times New Roman" w:hAnsi="Verdana" w:cs="Times New Roman"/>
          <w:b/>
          <w:i/>
          <w:color w:val="666666"/>
          <w:sz w:val="22"/>
          <w:szCs w:val="22"/>
          <w:lang w:eastAsia="es-ES"/>
        </w:rPr>
        <w:t>Wikis</w:t>
      </w:r>
      <w:r w:rsidRPr="005B0E0C">
        <w:rPr>
          <w:rFonts w:ascii="Verdana" w:eastAsia="Times New Roman" w:hAnsi="Verdana" w:cs="Times New Roman"/>
          <w:i/>
          <w:color w:val="666666"/>
          <w:sz w:val="22"/>
          <w:szCs w:val="22"/>
          <w:lang w:eastAsia="es-ES"/>
        </w:rPr>
        <w:t>, editables todo el tiempo a modo de revisión entre pares , en los cuales las nuevas entradas representan trabajos que hacen crecer la inteligencia colectiva en forma eficiente”</w:t>
      </w: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</w:t>
      </w:r>
      <w:proofErr w:type="spellStart"/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>Sunstein</w:t>
      </w:r>
      <w:proofErr w:type="spellEnd"/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(2006).</w:t>
      </w:r>
    </w:p>
    <w:p w:rsidR="005B0E0C" w:rsidRPr="005B0E0C" w:rsidRDefault="005771A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</w:pPr>
      <w:r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ab/>
      </w:r>
      <w:r w:rsidR="005B0E0C"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Teniendo en cuenta los anteriores planteamientos y de acuerdo con los principios del conectivismo que hacen énfasis en la actualización, retroalimentación y la construcción social del conocimiento(a partir de la conexión con fuentes de información especializada), los recursos que brinda la </w:t>
      </w:r>
      <w:r w:rsidR="005B0E0C" w:rsidRPr="005B0E0C">
        <w:rPr>
          <w:rFonts w:ascii="Verdana" w:eastAsia="Times New Roman" w:hAnsi="Verdana" w:cs="Times New Roman"/>
          <w:b/>
          <w:color w:val="666666"/>
          <w:sz w:val="22"/>
          <w:szCs w:val="22"/>
          <w:lang w:eastAsia="es-ES"/>
        </w:rPr>
        <w:t>web 2.0</w:t>
      </w:r>
      <w:r w:rsidR="005B0E0C"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 xml:space="preserve"> generan ambientes de aprendizaje óptimos para alcanzar éstos propósitos.</w:t>
      </w:r>
    </w:p>
    <w:p w:rsidR="005B0E0C" w:rsidRPr="005B0E0C" w:rsidRDefault="005B0E0C" w:rsidP="005B0E0C">
      <w:pPr>
        <w:shd w:val="clear" w:color="auto" w:fill="FFFFFF"/>
        <w:spacing w:after="0" w:line="255" w:lineRule="atLeast"/>
        <w:ind w:left="0"/>
        <w:jc w:val="both"/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</w:pPr>
      <w:r w:rsidRPr="005B0E0C">
        <w:rPr>
          <w:rFonts w:ascii="Verdana" w:eastAsia="Times New Roman" w:hAnsi="Verdana" w:cs="Times New Roman"/>
          <w:color w:val="666666"/>
          <w:sz w:val="22"/>
          <w:szCs w:val="22"/>
          <w:lang w:eastAsia="es-ES"/>
        </w:rPr>
        <w:t> </w:t>
      </w:r>
    </w:p>
    <w:p w:rsidR="005B0E0C" w:rsidRPr="005B0E0C" w:rsidRDefault="005B0E0C" w:rsidP="00F82D45">
      <w:pPr>
        <w:ind w:left="0"/>
        <w:jc w:val="both"/>
        <w:rPr>
          <w:sz w:val="24"/>
          <w:szCs w:val="24"/>
        </w:rPr>
      </w:pPr>
    </w:p>
    <w:sectPr w:rsidR="005B0E0C" w:rsidRPr="005B0E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45"/>
    <w:rsid w:val="005771AC"/>
    <w:rsid w:val="005B0E0C"/>
    <w:rsid w:val="007F6BE3"/>
    <w:rsid w:val="00A66B28"/>
    <w:rsid w:val="00C26754"/>
    <w:rsid w:val="00F8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BE3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"/>
    <w:uiPriority w:val="9"/>
    <w:qFormat/>
    <w:rsid w:val="007F6BE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F6BE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F6BE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F6BE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F6BE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F6BE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F6BE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F6BE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F6BE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6BE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F6BE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F6BE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F6BE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F6BE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F6BE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F6BE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F6BE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F6BE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7F6BE3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7F6BE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7F6BE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7F6BE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F6BE3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7F6BE3"/>
    <w:rPr>
      <w:b/>
      <w:bCs/>
      <w:spacing w:val="0"/>
    </w:rPr>
  </w:style>
  <w:style w:type="character" w:styleId="nfasis">
    <w:name w:val="Emphasis"/>
    <w:uiPriority w:val="20"/>
    <w:qFormat/>
    <w:rsid w:val="007F6BE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7F6BE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F6BE3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7F6BE3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7F6BE3"/>
    <w:rPr>
      <w:i/>
      <w:iC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F6BE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F6BE3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nfasissutil">
    <w:name w:val="Subtle Emphasis"/>
    <w:uiPriority w:val="19"/>
    <w:qFormat/>
    <w:rsid w:val="007F6BE3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7F6BE3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7F6BE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7F6BE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7F6BE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F6BE3"/>
    <w:pPr>
      <w:outlineLvl w:val="9"/>
    </w:pPr>
    <w:rPr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0E0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BE3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"/>
    <w:uiPriority w:val="9"/>
    <w:qFormat/>
    <w:rsid w:val="007F6BE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F6BE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F6BE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F6BE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F6BE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F6BE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F6BE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F6BE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F6BE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6BE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F6BE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F6BE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F6BE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F6BE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F6BE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F6BE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F6BE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F6BE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7F6BE3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7F6BE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7F6BE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7F6BE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F6BE3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7F6BE3"/>
    <w:rPr>
      <w:b/>
      <w:bCs/>
      <w:spacing w:val="0"/>
    </w:rPr>
  </w:style>
  <w:style w:type="character" w:styleId="nfasis">
    <w:name w:val="Emphasis"/>
    <w:uiPriority w:val="20"/>
    <w:qFormat/>
    <w:rsid w:val="007F6BE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7F6BE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F6BE3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7F6BE3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7F6BE3"/>
    <w:rPr>
      <w:i/>
      <w:iC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F6BE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F6BE3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nfasissutil">
    <w:name w:val="Subtle Emphasis"/>
    <w:uiPriority w:val="19"/>
    <w:qFormat/>
    <w:rsid w:val="007F6BE3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7F6BE3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7F6BE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7F6BE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7F6BE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F6BE3"/>
    <w:pPr>
      <w:outlineLvl w:val="9"/>
    </w:pPr>
    <w:rPr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0E0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ear.com/listen/85dddf9/Web-2.0-y-la-teoria-conectivista-en-la-educaci%C3%B2n--carmen-l%C3%B2pe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40ABD-8067-44A0-BBF6-0AF03B5B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de sousa</dc:creator>
  <cp:lastModifiedBy>Familia de sousa</cp:lastModifiedBy>
  <cp:revision>2</cp:revision>
  <dcterms:created xsi:type="dcterms:W3CDTF">2015-04-30T21:44:00Z</dcterms:created>
  <dcterms:modified xsi:type="dcterms:W3CDTF">2015-04-30T21:44:00Z</dcterms:modified>
</cp:coreProperties>
</file>